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9B085B">
      <w:pPr>
        <w:pStyle w:val="31"/>
        <w:jc w:val="center"/>
        <w:rPr>
          <w:rFonts w:hint="eastAsia" w:ascii="黑体" w:hAnsi="黑体" w:eastAsia="黑体" w:cs="黑体"/>
          <w:color w:val="auto"/>
        </w:rPr>
      </w:pPr>
      <w:r>
        <w:rPr>
          <w:rFonts w:hint="eastAsia" w:ascii="黑体" w:hAnsi="黑体" w:eastAsia="黑体" w:cs="黑体"/>
          <w:b/>
          <w:color w:val="auto"/>
          <w:sz w:val="36"/>
        </w:rPr>
        <w:t>中国贵州茅台酒厂（集团）文化旅游有限责任公司</w:t>
      </w:r>
    </w:p>
    <w:p w14:paraId="79CB6520">
      <w:pPr>
        <w:pStyle w:val="3"/>
        <w:jc w:val="center"/>
        <w:rPr>
          <w:rFonts w:hint="eastAsia" w:ascii="黑体" w:hAnsi="黑体" w:eastAsia="黑体" w:cs="黑体"/>
          <w:color w:val="auto"/>
        </w:rPr>
      </w:pPr>
      <w:r>
        <w:rPr>
          <w:rFonts w:hint="eastAsia" w:ascii="黑体" w:hAnsi="黑体" w:eastAsia="黑体" w:cs="黑体"/>
          <w:b/>
          <w:color w:val="auto"/>
          <w:sz w:val="32"/>
        </w:rPr>
        <w:t>文创产品供应商公开招募准入标准</w:t>
      </w:r>
    </w:p>
    <w:p w14:paraId="78B6ECD7">
      <w:pPr>
        <w:rPr>
          <w:color w:val="auto"/>
        </w:rPr>
      </w:pPr>
    </w:p>
    <w:p w14:paraId="0BF38FD8">
      <w:pPr>
        <w:pStyle w:val="3"/>
        <w:rPr>
          <w:rFonts w:hint="eastAsia" w:ascii="黑体" w:hAnsi="黑体" w:eastAsia="黑体" w:cs="黑体"/>
          <w:color w:val="auto"/>
        </w:rPr>
      </w:pPr>
      <w:r>
        <w:rPr>
          <w:rFonts w:hint="eastAsia" w:ascii="黑体" w:hAnsi="黑体" w:eastAsia="黑体" w:cs="黑体"/>
          <w:color w:val="auto"/>
        </w:rPr>
        <w:t>一、招募类别</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0"/>
        <w:gridCol w:w="4279"/>
        <w:gridCol w:w="3001"/>
      </w:tblGrid>
      <w:tr w14:paraId="029C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tcPr>
          <w:p w14:paraId="182B0D0D">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类别</w:t>
            </w:r>
          </w:p>
        </w:tc>
        <w:tc>
          <w:tcPr>
            <w:tcW w:w="4279" w:type="dxa"/>
          </w:tcPr>
          <w:p w14:paraId="07BE9736">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产品范围</w:t>
            </w:r>
          </w:p>
        </w:tc>
        <w:tc>
          <w:tcPr>
            <w:tcW w:w="3001" w:type="dxa"/>
          </w:tcPr>
          <w:p w14:paraId="6DCFC03D">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合作模式</w:t>
            </w:r>
          </w:p>
        </w:tc>
      </w:tr>
      <w:tr w14:paraId="7BB7B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tcPr>
          <w:p w14:paraId="487B134A">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酒礼盒类</w:t>
            </w:r>
          </w:p>
        </w:tc>
        <w:tc>
          <w:tcPr>
            <w:tcW w:w="4279" w:type="dxa"/>
          </w:tcPr>
          <w:p w14:paraId="07E244FE">
            <w:pPr>
              <w:spacing w:after="0" w:line="240" w:lineRule="auto"/>
              <w:rPr>
                <w:rFonts w:hint="eastAsia" w:ascii="仿宋_GB2312" w:hAnsi="仿宋_GB2312" w:eastAsia="仿宋_GB2312" w:cs="仿宋_GB2312"/>
                <w:b w:val="0"/>
                <w:color w:val="auto"/>
                <w:sz w:val="21"/>
              </w:rPr>
            </w:pPr>
            <w:r>
              <w:rPr>
                <w:rFonts w:hint="eastAsia" w:ascii="仿宋_GB2312" w:hAnsi="仿宋_GB2312" w:eastAsia="仿宋_GB2312" w:cs="仿宋_GB2312"/>
                <w:b w:val="0"/>
                <w:color w:val="auto"/>
                <w:sz w:val="21"/>
              </w:rPr>
              <w:t>酒礼盒文创设计、定制生产、成品供应一体化服务</w:t>
            </w:r>
          </w:p>
        </w:tc>
        <w:tc>
          <w:tcPr>
            <w:tcW w:w="3001" w:type="dxa"/>
            <w:vMerge w:val="restart"/>
          </w:tcPr>
          <w:p w14:paraId="21C3B64E">
            <w:pPr>
              <w:spacing w:after="0" w:line="240" w:lineRule="auto"/>
              <w:rPr>
                <w:rFonts w:hint="eastAsia" w:ascii="仿宋_GB2312" w:hAnsi="仿宋_GB2312" w:eastAsia="仿宋_GB2312" w:cs="仿宋_GB2312"/>
                <w:b w:val="0"/>
                <w:color w:val="auto"/>
                <w:sz w:val="21"/>
                <w:lang w:val="en-US" w:eastAsia="zh-CN"/>
              </w:rPr>
            </w:pPr>
            <w:r>
              <w:rPr>
                <w:rFonts w:hint="eastAsia" w:ascii="仿宋_GB2312" w:hAnsi="仿宋_GB2312" w:eastAsia="仿宋_GB2312" w:cs="仿宋_GB2312"/>
                <w:b w:val="0"/>
                <w:color w:val="auto"/>
                <w:sz w:val="21"/>
              </w:rPr>
              <w:t>本次招募</w:t>
            </w:r>
            <w:r>
              <w:rPr>
                <w:rFonts w:hint="eastAsia" w:ascii="仿宋_GB2312" w:hAnsi="仿宋_GB2312" w:eastAsia="仿宋_GB2312" w:cs="仿宋_GB2312"/>
                <w:b w:val="0"/>
                <w:color w:val="auto"/>
                <w:sz w:val="21"/>
                <w:lang w:val="en-US" w:eastAsia="zh-CN"/>
              </w:rPr>
              <w:t>须</w:t>
            </w:r>
            <w:r>
              <w:rPr>
                <w:rFonts w:hint="eastAsia" w:ascii="仿宋_GB2312" w:hAnsi="仿宋_GB2312" w:eastAsia="仿宋_GB2312" w:cs="仿宋_GB2312"/>
                <w:b w:val="0"/>
                <w:color w:val="auto"/>
                <w:sz w:val="21"/>
              </w:rPr>
              <w:t>接受</w:t>
            </w:r>
            <w:r>
              <w:rPr>
                <w:rFonts w:hint="default" w:ascii="仿宋_GB2312" w:hAnsi="仿宋_GB2312" w:eastAsia="仿宋_GB2312" w:cs="仿宋_GB2312"/>
                <w:b w:val="0"/>
                <w:color w:val="auto"/>
                <w:sz w:val="21"/>
              </w:rPr>
              <w:t>商贸合作模式。即双方不以固定的采购买断关系进行结算，而是建立按实际销售业绩进行结算的动态合作机制。甲方根据终端消费者的实际提货/使用数据，按约定周期与乙方进行对账及货款支付，未实现最终销售的部分不计入结算范围。</w:t>
            </w:r>
          </w:p>
        </w:tc>
      </w:tr>
      <w:tr w14:paraId="617E8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tcPr>
          <w:p w14:paraId="6D18FD65">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其他品类</w:t>
            </w:r>
          </w:p>
        </w:tc>
        <w:tc>
          <w:tcPr>
            <w:tcW w:w="4279" w:type="dxa"/>
          </w:tcPr>
          <w:p w14:paraId="2642F7FA">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highlight w:val="none"/>
              </w:rPr>
              <w:t>综合、陶瓷、玻璃水晶、电子配件、金属、塑料PVC、布艺、皮革、毛绒等其他类等材质的文创产品（文创摆件、周边衍生品、会务文创物料、景区文创商品等）</w:t>
            </w:r>
          </w:p>
        </w:tc>
        <w:tc>
          <w:tcPr>
            <w:tcW w:w="3001" w:type="dxa"/>
            <w:vMerge w:val="continue"/>
          </w:tcPr>
          <w:p w14:paraId="7865205E">
            <w:pPr>
              <w:spacing w:after="0" w:line="240" w:lineRule="auto"/>
              <w:rPr>
                <w:rFonts w:hint="eastAsia" w:ascii="仿宋_GB2312" w:hAnsi="仿宋_GB2312" w:eastAsia="仿宋_GB2312" w:cs="仿宋_GB2312"/>
                <w:color w:val="auto"/>
              </w:rPr>
            </w:pPr>
          </w:p>
        </w:tc>
      </w:tr>
    </w:tbl>
    <w:p w14:paraId="3732A15A">
      <w:pPr>
        <w:pStyle w:val="3"/>
        <w:rPr>
          <w:rFonts w:hint="eastAsia" w:ascii="黑体" w:hAnsi="黑体" w:eastAsia="黑体" w:cs="黑体"/>
          <w:color w:val="auto"/>
        </w:rPr>
      </w:pPr>
      <w:r>
        <w:rPr>
          <w:rFonts w:hint="eastAsia" w:ascii="黑体" w:hAnsi="黑体" w:eastAsia="黑体" w:cs="黑体"/>
          <w:color w:val="auto"/>
        </w:rPr>
        <w:t>二、基本准入条件</w:t>
      </w:r>
    </w:p>
    <w:p w14:paraId="3790944A">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（一）企业基础资质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0"/>
        <w:gridCol w:w="4249"/>
        <w:gridCol w:w="3046"/>
      </w:tblGrid>
      <w:tr w14:paraId="0CD2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03" w:type="dxa"/>
          </w:tcPr>
          <w:p w14:paraId="4F4E9DBA">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要求项目</w:t>
            </w:r>
          </w:p>
        </w:tc>
        <w:tc>
          <w:tcPr>
            <w:tcW w:w="4256" w:type="dxa"/>
          </w:tcPr>
          <w:p w14:paraId="5A1BBF25">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酒礼盒类</w:t>
            </w:r>
          </w:p>
        </w:tc>
        <w:tc>
          <w:tcPr>
            <w:tcW w:w="3051" w:type="dxa"/>
          </w:tcPr>
          <w:p w14:paraId="1A1F6373">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其他品类</w:t>
            </w:r>
          </w:p>
        </w:tc>
      </w:tr>
      <w:tr w14:paraId="35CA6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tcPr>
          <w:p w14:paraId="68CBFE48">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注册年限</w:t>
            </w:r>
          </w:p>
        </w:tc>
        <w:tc>
          <w:tcPr>
            <w:tcW w:w="4256" w:type="dxa"/>
          </w:tcPr>
          <w:p w14:paraId="3C45746F">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公司注册成立满3年及以上</w:t>
            </w:r>
          </w:p>
        </w:tc>
        <w:tc>
          <w:tcPr>
            <w:tcW w:w="3051" w:type="dxa"/>
          </w:tcPr>
          <w:p w14:paraId="5797DF7B">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公司注册成立满1年及以上</w:t>
            </w:r>
          </w:p>
        </w:tc>
      </w:tr>
      <w:tr w14:paraId="61854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tcPr>
          <w:p w14:paraId="0A274560">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注册资本</w:t>
            </w:r>
          </w:p>
        </w:tc>
        <w:tc>
          <w:tcPr>
            <w:tcW w:w="4256" w:type="dxa"/>
          </w:tcPr>
          <w:p w14:paraId="4DCF432E">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不低于500万元人民币</w:t>
            </w:r>
          </w:p>
        </w:tc>
        <w:tc>
          <w:tcPr>
            <w:tcW w:w="3051" w:type="dxa"/>
          </w:tcPr>
          <w:p w14:paraId="4114B68E">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不低于100万元人民币</w:t>
            </w:r>
          </w:p>
        </w:tc>
      </w:tr>
      <w:tr w14:paraId="48B76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tcPr>
          <w:p w14:paraId="24ED954C">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经营状态</w:t>
            </w:r>
          </w:p>
        </w:tc>
        <w:tc>
          <w:tcPr>
            <w:tcW w:w="4256" w:type="dxa"/>
          </w:tcPr>
          <w:p w14:paraId="60D733C1">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持续稳定经营，无停业、歇业等经营异常记录</w:t>
            </w:r>
          </w:p>
        </w:tc>
        <w:tc>
          <w:tcPr>
            <w:tcW w:w="3051" w:type="dxa"/>
          </w:tcPr>
          <w:p w14:paraId="733E7D79">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经营状况稳定，无停业、</w:t>
            </w:r>
            <w:bookmarkStart w:id="0" w:name="_GoBack"/>
            <w:bookmarkEnd w:id="0"/>
            <w:r>
              <w:rPr>
                <w:rFonts w:hint="eastAsia" w:ascii="仿宋_GB2312" w:hAnsi="仿宋_GB2312" w:eastAsia="仿宋_GB2312" w:cs="仿宋_GB2312"/>
                <w:b w:val="0"/>
                <w:color w:val="auto"/>
                <w:sz w:val="21"/>
              </w:rPr>
              <w:t>歇业等经营异常记录</w:t>
            </w:r>
          </w:p>
        </w:tc>
      </w:tr>
      <w:tr w14:paraId="71495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tcPr>
          <w:p w14:paraId="75167FE2">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人员配置</w:t>
            </w:r>
          </w:p>
        </w:tc>
        <w:tc>
          <w:tcPr>
            <w:tcW w:w="4256" w:type="dxa"/>
          </w:tcPr>
          <w:p w14:paraId="2801287C">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不少于20人，团队覆盖设计、生产、品控全流程</w:t>
            </w:r>
          </w:p>
        </w:tc>
        <w:tc>
          <w:tcPr>
            <w:tcW w:w="3051" w:type="dxa"/>
          </w:tcPr>
          <w:p w14:paraId="51B9DA25">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具备与合作品类匹配的人员配置，满足订单设计、生产需求</w:t>
            </w:r>
          </w:p>
        </w:tc>
      </w:tr>
      <w:tr w14:paraId="18B9F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tcPr>
          <w:p w14:paraId="332D6F58">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生产场地</w:t>
            </w:r>
          </w:p>
        </w:tc>
        <w:tc>
          <w:tcPr>
            <w:tcW w:w="4256" w:type="dxa"/>
          </w:tcPr>
          <w:p w14:paraId="3CE16B2A">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具备固定经营场地及专业生产设备（或稳定可控的生产供应链），覆盖裁切、印刷、组装、包装等全流程工艺</w:t>
            </w:r>
          </w:p>
        </w:tc>
        <w:tc>
          <w:tcPr>
            <w:tcW w:w="3051" w:type="dxa"/>
          </w:tcPr>
          <w:p w14:paraId="59517326">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具备对应品类产品的经营场地及配套设备，生产类供应商需有固定生产场地</w:t>
            </w:r>
          </w:p>
        </w:tc>
      </w:tr>
    </w:tbl>
    <w:p w14:paraId="2A205FE1">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（二）财务要求</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6"/>
        <w:gridCol w:w="4308"/>
        <w:gridCol w:w="2972"/>
      </w:tblGrid>
      <w:tr w14:paraId="02B15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6" w:type="dxa"/>
          </w:tcPr>
          <w:p w14:paraId="0D6806CE">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要求项目</w:t>
            </w:r>
          </w:p>
        </w:tc>
        <w:tc>
          <w:tcPr>
            <w:tcW w:w="4308" w:type="dxa"/>
          </w:tcPr>
          <w:p w14:paraId="1E248201">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酒礼盒类</w:t>
            </w:r>
          </w:p>
        </w:tc>
        <w:tc>
          <w:tcPr>
            <w:tcW w:w="2972" w:type="dxa"/>
          </w:tcPr>
          <w:p w14:paraId="7571ACF3">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其他品类</w:t>
            </w:r>
          </w:p>
        </w:tc>
      </w:tr>
      <w:tr w14:paraId="119E6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6" w:type="dxa"/>
          </w:tcPr>
          <w:p w14:paraId="23988302">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财务制度</w:t>
            </w:r>
          </w:p>
        </w:tc>
        <w:tc>
          <w:tcPr>
            <w:tcW w:w="4308" w:type="dxa"/>
          </w:tcPr>
          <w:p w14:paraId="24AEE677">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具备独立、健全的财务会计制度，能提供近2年经审计的财务报表（含资产负债表、利润表、现金流量表）</w:t>
            </w:r>
          </w:p>
        </w:tc>
        <w:tc>
          <w:tcPr>
            <w:tcW w:w="2972" w:type="dxa"/>
          </w:tcPr>
          <w:p w14:paraId="4F024B7A">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具备合法</w:t>
            </w:r>
            <w:r>
              <w:rPr>
                <w:rFonts w:hint="eastAsia" w:ascii="仿宋_GB2312" w:hAnsi="仿宋_GB2312" w:eastAsia="仿宋_GB2312" w:cs="仿宋_GB2312"/>
                <w:b w:val="0"/>
                <w:color w:val="auto"/>
                <w:sz w:val="21"/>
                <w:lang w:eastAsia="zh-CN"/>
              </w:rPr>
              <w:t>有效</w:t>
            </w:r>
            <w:r>
              <w:rPr>
                <w:rFonts w:hint="eastAsia" w:ascii="仿宋_GB2312" w:hAnsi="仿宋_GB2312" w:eastAsia="仿宋_GB2312" w:cs="仿宋_GB2312"/>
                <w:b w:val="0"/>
                <w:color w:val="auto"/>
                <w:sz w:val="21"/>
                <w:lang w:val="en-US" w:eastAsia="zh-CN"/>
              </w:rPr>
              <w:t>的</w:t>
            </w:r>
            <w:r>
              <w:rPr>
                <w:rFonts w:hint="eastAsia" w:ascii="仿宋_GB2312" w:hAnsi="仿宋_GB2312" w:eastAsia="仿宋_GB2312" w:cs="仿宋_GB2312"/>
                <w:b w:val="0"/>
                <w:color w:val="auto"/>
                <w:sz w:val="21"/>
              </w:rPr>
              <w:t>财务核算体系，能提供近1年财务报表（小规模企业可提供简化版）；个体工商户可提供完税证明、银行流水等</w:t>
            </w:r>
          </w:p>
        </w:tc>
      </w:tr>
      <w:tr w14:paraId="3CF54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6" w:type="dxa"/>
          </w:tcPr>
          <w:p w14:paraId="04DF564D">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经营状况</w:t>
            </w:r>
          </w:p>
        </w:tc>
        <w:tc>
          <w:tcPr>
            <w:tcW w:w="4308" w:type="dxa"/>
          </w:tcPr>
          <w:p w14:paraId="28733475">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近2年无连续亏损，资产负债率不高于60%；近1年经营活动现金流量净额为正</w:t>
            </w:r>
          </w:p>
        </w:tc>
        <w:tc>
          <w:tcPr>
            <w:tcW w:w="2972" w:type="dxa"/>
          </w:tcPr>
          <w:p w14:paraId="1D99B155">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近6个月经营现金流无连续为负，无因经营资金困难导致的履约违约记录</w:t>
            </w:r>
          </w:p>
        </w:tc>
      </w:tr>
      <w:tr w14:paraId="04B9F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6" w:type="dxa"/>
          </w:tcPr>
          <w:p w14:paraId="17C1155E">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税务信用</w:t>
            </w:r>
          </w:p>
        </w:tc>
        <w:tc>
          <w:tcPr>
            <w:tcW w:w="4308" w:type="dxa"/>
          </w:tcPr>
          <w:p w14:paraId="12154ECD">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不低于B级，能开具合法</w:t>
            </w:r>
            <w:r>
              <w:rPr>
                <w:rFonts w:hint="eastAsia" w:ascii="仿宋_GB2312" w:hAnsi="仿宋_GB2312" w:eastAsia="仿宋_GB2312" w:cs="仿宋_GB2312"/>
                <w:b w:val="0"/>
                <w:color w:val="auto"/>
                <w:sz w:val="21"/>
                <w:lang w:eastAsia="zh-CN"/>
              </w:rPr>
              <w:t>有效的</w:t>
            </w:r>
            <w:r>
              <w:rPr>
                <w:rFonts w:hint="eastAsia" w:ascii="仿宋_GB2312" w:hAnsi="仿宋_GB2312" w:eastAsia="仿宋_GB2312" w:cs="仿宋_GB2312"/>
                <w:b w:val="0"/>
                <w:color w:val="auto"/>
                <w:sz w:val="21"/>
              </w:rPr>
              <w:t>增值税专用发票</w:t>
            </w:r>
          </w:p>
        </w:tc>
        <w:tc>
          <w:tcPr>
            <w:tcW w:w="2972" w:type="dxa"/>
          </w:tcPr>
          <w:p w14:paraId="5F9B74E9">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不低于B级，能开具合法</w:t>
            </w:r>
            <w:r>
              <w:rPr>
                <w:rFonts w:hint="eastAsia" w:ascii="仿宋_GB2312" w:hAnsi="仿宋_GB2312" w:eastAsia="仿宋_GB2312" w:cs="仿宋_GB2312"/>
                <w:b w:val="0"/>
                <w:color w:val="auto"/>
                <w:sz w:val="21"/>
                <w:lang w:eastAsia="zh-CN"/>
              </w:rPr>
              <w:t>有效的</w:t>
            </w:r>
            <w:r>
              <w:rPr>
                <w:rFonts w:hint="eastAsia" w:ascii="仿宋_GB2312" w:hAnsi="仿宋_GB2312" w:eastAsia="仿宋_GB2312" w:cs="仿宋_GB2312"/>
                <w:b w:val="0"/>
                <w:color w:val="auto"/>
                <w:sz w:val="21"/>
              </w:rPr>
              <w:t>增值税专用发票</w:t>
            </w:r>
          </w:p>
        </w:tc>
      </w:tr>
      <w:tr w14:paraId="17639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6" w:type="dxa"/>
          </w:tcPr>
          <w:p w14:paraId="0BB08786">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财务信用</w:t>
            </w:r>
          </w:p>
        </w:tc>
        <w:tc>
          <w:tcPr>
            <w:tcW w:w="4308" w:type="dxa"/>
          </w:tcPr>
          <w:p w14:paraId="773FBEB4">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无拖欠上下游货款、工程款等不良记录，近2年未因财务问题被通报或处罚，未被列入金融机构失信被执行人名单</w:t>
            </w:r>
          </w:p>
        </w:tc>
        <w:tc>
          <w:tcPr>
            <w:tcW w:w="2972" w:type="dxa"/>
          </w:tcPr>
          <w:p w14:paraId="1685AF2C">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具有规范的价格核算体系，能提供清晰的报价明细及成本构成说明，无虚高报价、价格欺诈等不良记录</w:t>
            </w:r>
          </w:p>
        </w:tc>
      </w:tr>
    </w:tbl>
    <w:p w14:paraId="355E7644">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（三）法务合规要求</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1"/>
        <w:gridCol w:w="4330"/>
        <w:gridCol w:w="2973"/>
      </w:tblGrid>
      <w:tr w14:paraId="5C5FB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tcPr>
          <w:p w14:paraId="299C10B4">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要求项目</w:t>
            </w:r>
          </w:p>
        </w:tc>
        <w:tc>
          <w:tcPr>
            <w:tcW w:w="4330" w:type="dxa"/>
          </w:tcPr>
          <w:p w14:paraId="5C799F4F">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酒礼盒类</w:t>
            </w:r>
          </w:p>
        </w:tc>
        <w:tc>
          <w:tcPr>
            <w:tcW w:w="2973" w:type="dxa"/>
          </w:tcPr>
          <w:p w14:paraId="730E896D">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其他品类</w:t>
            </w:r>
          </w:p>
        </w:tc>
      </w:tr>
      <w:tr w14:paraId="7BE0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tcPr>
          <w:p w14:paraId="62E1D3DE">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主体资格</w:t>
            </w:r>
          </w:p>
        </w:tc>
        <w:tc>
          <w:tcPr>
            <w:tcW w:w="4330" w:type="dxa"/>
          </w:tcPr>
          <w:p w14:paraId="468279D7">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具有独立法人资格，营业执照经营范围包含文创产品设计、礼盒生产/销售、包装装潢印刷等相关类目，资质证件合法有效且在有效期内</w:t>
            </w:r>
          </w:p>
        </w:tc>
        <w:tc>
          <w:tcPr>
            <w:tcW w:w="2973" w:type="dxa"/>
          </w:tcPr>
          <w:p w14:paraId="5D471B4D">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具有独立法人资格或合法</w:t>
            </w:r>
            <w:r>
              <w:rPr>
                <w:rFonts w:hint="eastAsia" w:ascii="仿宋_GB2312" w:hAnsi="仿宋_GB2312" w:eastAsia="仿宋_GB2312" w:cs="仿宋_GB2312"/>
                <w:b w:val="0"/>
                <w:color w:val="auto"/>
                <w:sz w:val="21"/>
                <w:lang w:eastAsia="zh-CN"/>
              </w:rPr>
              <w:t>有效的</w:t>
            </w:r>
            <w:r>
              <w:rPr>
                <w:rFonts w:hint="eastAsia" w:ascii="仿宋_GB2312" w:hAnsi="仿宋_GB2312" w:eastAsia="仿宋_GB2312" w:cs="仿宋_GB2312"/>
                <w:b w:val="0"/>
                <w:color w:val="auto"/>
                <w:sz w:val="21"/>
              </w:rPr>
              <w:t>经营主体资格，营业执照经营范围包含对应品类文创产品的设计、生产、销售等相关类目</w:t>
            </w:r>
          </w:p>
        </w:tc>
      </w:tr>
      <w:tr w14:paraId="1319D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tcPr>
          <w:p w14:paraId="6A4E40A1">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合规记录</w:t>
            </w:r>
          </w:p>
        </w:tc>
        <w:tc>
          <w:tcPr>
            <w:tcW w:w="4330" w:type="dxa"/>
          </w:tcPr>
          <w:p w14:paraId="0D95C11B">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近3年无重大违法违规记录，未被列入经营异常名录或严重违法失信企业名单，无行贿、知识产权侵权、产品质量违法等司法或行政处罚记录</w:t>
            </w:r>
          </w:p>
        </w:tc>
        <w:tc>
          <w:tcPr>
            <w:tcW w:w="2973" w:type="dxa"/>
          </w:tcPr>
          <w:p w14:paraId="40FAAEF1">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近3年无重大违法违规记录，未被列入严重违法失信名单，无知识产权侵权（如盗用设计、仿冒产品）、产品质量违法等行政处罚记录</w:t>
            </w:r>
          </w:p>
        </w:tc>
      </w:tr>
      <w:tr w14:paraId="296CC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tcPr>
          <w:p w14:paraId="02FF265D">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合同纠纷</w:t>
            </w:r>
          </w:p>
        </w:tc>
        <w:tc>
          <w:tcPr>
            <w:tcW w:w="4330" w:type="dxa"/>
          </w:tcPr>
          <w:p w14:paraId="212AE0F5">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近2年无因自身原因导致的重大合同纠纷，无被采购人投诉并核实的严重履约违约行为，合同履约率达100%</w:t>
            </w:r>
          </w:p>
        </w:tc>
        <w:tc>
          <w:tcPr>
            <w:tcW w:w="2973" w:type="dxa"/>
          </w:tcPr>
          <w:p w14:paraId="3EB31881">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w:t>
            </w:r>
          </w:p>
        </w:tc>
      </w:tr>
      <w:tr w14:paraId="649B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tcPr>
          <w:p w14:paraId="25C280DD">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协议签署</w:t>
            </w:r>
          </w:p>
        </w:tc>
        <w:tc>
          <w:tcPr>
            <w:tcW w:w="4330" w:type="dxa"/>
          </w:tcPr>
          <w:p w14:paraId="70EB1D1A">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自愿签署《供应商廉洁协议》《保密协议》《质量保证协议》</w:t>
            </w:r>
          </w:p>
        </w:tc>
        <w:tc>
          <w:tcPr>
            <w:tcW w:w="2973" w:type="dxa"/>
          </w:tcPr>
          <w:p w14:paraId="1B2F222E">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自愿签署《供应商廉洁协议》，配合采购全流程合规监督</w:t>
            </w:r>
          </w:p>
        </w:tc>
      </w:tr>
    </w:tbl>
    <w:p w14:paraId="75C855DD">
      <w:pPr>
        <w:jc w:val="left"/>
        <w:rPr>
          <w:rFonts w:hint="eastAsia" w:ascii="仿宋_GB2312" w:hAnsi="仿宋_GB2312" w:eastAsia="仿宋_GB2312" w:cs="仿宋_GB2312"/>
          <w:b/>
          <w:bCs/>
          <w:color w:val="auto"/>
        </w:rPr>
      </w:pPr>
      <w:r>
        <w:rPr>
          <w:rFonts w:hint="eastAsia" w:ascii="仿宋_GB2312" w:hAnsi="仿宋_GB2312" w:eastAsia="仿宋_GB2312" w:cs="仿宋_GB2312"/>
          <w:b/>
          <w:bCs/>
          <w:color w:val="auto"/>
          <w:sz w:val="21"/>
        </w:rPr>
        <w:t>注：</w:t>
      </w:r>
      <w:r>
        <w:rPr>
          <w:rFonts w:hint="eastAsia" w:ascii="仿宋_GB2312" w:hAnsi="仿宋_GB2312" w:eastAsia="仿宋_GB2312" w:cs="仿宋_GB2312"/>
          <w:b/>
          <w:bCs/>
          <w:color w:val="auto"/>
          <w:sz w:val="21"/>
          <w:lang w:val="en-US" w:eastAsia="zh-CN"/>
        </w:rPr>
        <w:t>其他品类</w:t>
      </w:r>
      <w:r>
        <w:rPr>
          <w:rFonts w:hint="eastAsia" w:ascii="仿宋_GB2312" w:hAnsi="仿宋_GB2312" w:eastAsia="仿宋_GB2312" w:cs="仿宋_GB2312"/>
          <w:b/>
          <w:bCs/>
          <w:color w:val="auto"/>
          <w:sz w:val="21"/>
        </w:rPr>
        <w:t>供应商若涉及文创产品设计合作，</w:t>
      </w:r>
      <w:r>
        <w:rPr>
          <w:rFonts w:hint="eastAsia" w:ascii="仿宋_GB2312" w:hAnsi="仿宋_GB2312" w:eastAsia="仿宋_GB2312" w:cs="仿宋_GB2312"/>
          <w:b/>
          <w:bCs/>
          <w:color w:val="auto"/>
          <w:sz w:val="21"/>
          <w:lang w:eastAsia="zh-CN"/>
        </w:rPr>
        <w:t>须具备</w:t>
      </w:r>
      <w:r>
        <w:rPr>
          <w:rFonts w:hint="eastAsia" w:ascii="仿宋_GB2312" w:hAnsi="仿宋_GB2312" w:eastAsia="仿宋_GB2312" w:cs="仿宋_GB2312"/>
          <w:b/>
          <w:bCs/>
          <w:color w:val="auto"/>
          <w:sz w:val="21"/>
        </w:rPr>
        <w:t>自主设计能力，无设计成果侵权纠纷，</w:t>
      </w:r>
      <w:r>
        <w:rPr>
          <w:rFonts w:hint="eastAsia" w:ascii="仿宋_GB2312" w:hAnsi="仿宋_GB2312" w:eastAsia="仿宋_GB2312" w:cs="仿宋_GB2312"/>
          <w:b/>
          <w:bCs/>
          <w:color w:val="auto"/>
          <w:sz w:val="21"/>
          <w:lang w:eastAsia="zh-CN"/>
        </w:rPr>
        <w:t>并能</w:t>
      </w:r>
      <w:r>
        <w:rPr>
          <w:rFonts w:hint="eastAsia" w:ascii="仿宋_GB2312" w:hAnsi="仿宋_GB2312" w:eastAsia="仿宋_GB2312" w:cs="仿宋_GB2312"/>
          <w:b/>
          <w:bCs/>
          <w:color w:val="auto"/>
          <w:sz w:val="21"/>
        </w:rPr>
        <w:t>提供设计著作权证明等相关资料。</w:t>
      </w:r>
    </w:p>
    <w:p w14:paraId="4ABE300E">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（四）质量保障要求</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8"/>
        <w:gridCol w:w="4320"/>
        <w:gridCol w:w="2961"/>
      </w:tblGrid>
      <w:tr w14:paraId="7A31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tcPr>
          <w:p w14:paraId="502F66BE">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要求项目</w:t>
            </w:r>
          </w:p>
        </w:tc>
        <w:tc>
          <w:tcPr>
            <w:tcW w:w="4320" w:type="dxa"/>
          </w:tcPr>
          <w:p w14:paraId="3FE90A34">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酒礼盒类</w:t>
            </w:r>
          </w:p>
        </w:tc>
        <w:tc>
          <w:tcPr>
            <w:tcW w:w="2961" w:type="dxa"/>
          </w:tcPr>
          <w:p w14:paraId="2E191EB8">
            <w:pPr>
              <w:spacing w:after="0" w:line="240" w:lineRule="auto"/>
              <w:jc w:val="center"/>
              <w:rPr>
                <w:rFonts w:hint="eastAsia" w:ascii="仿宋_GB2312" w:hAnsi="仿宋_GB2312" w:eastAsia="仿宋_GB2312" w:cs="仿宋_GB2312"/>
                <w:color w:val="auto"/>
              </w:rPr>
            </w:pPr>
            <w:r>
              <w:rPr>
                <w:rFonts w:hint="eastAsia" w:ascii="仿宋_GB2312" w:hAnsi="仿宋_GB2312" w:eastAsia="仿宋_GB2312" w:cs="仿宋_GB2312"/>
                <w:b/>
                <w:color w:val="auto"/>
                <w:sz w:val="21"/>
              </w:rPr>
              <w:t>其他品类</w:t>
            </w:r>
          </w:p>
        </w:tc>
      </w:tr>
      <w:tr w14:paraId="7231E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3327C068">
            <w:pPr>
              <w:spacing w:after="0" w:line="240" w:lineRule="auto"/>
              <w:ind w:left="0" w:leftChars="0" w:right="0" w:rightChars="0" w:firstLine="0" w:firstLineChars="0"/>
              <w:jc w:val="center"/>
              <w:rPr>
                <w:rFonts w:hint="eastAsia" w:ascii="仿宋_GB2312" w:hAnsi="仿宋_GB2312" w:eastAsia="仿宋_GB2312" w:cs="仿宋_GB2312"/>
                <w:b w:val="0"/>
                <w:color w:val="auto"/>
                <w:sz w:val="21"/>
              </w:rPr>
            </w:pPr>
            <w:r>
              <w:rPr>
                <w:rFonts w:hint="eastAsia" w:ascii="仿宋_GB2312" w:hAnsi="仿宋_GB2312" w:eastAsia="仿宋_GB2312" w:cs="仿宋_GB2312"/>
                <w:b w:val="0"/>
                <w:color w:val="auto"/>
                <w:sz w:val="21"/>
              </w:rPr>
              <w:t>食品接触类特殊</w:t>
            </w:r>
          </w:p>
          <w:p w14:paraId="53779C38">
            <w:pPr>
              <w:spacing w:after="0" w:line="240" w:lineRule="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要求</w:t>
            </w:r>
          </w:p>
        </w:tc>
        <w:tc>
          <w:tcPr>
            <w:tcW w:w="7281" w:type="dxa"/>
            <w:gridSpan w:val="2"/>
          </w:tcPr>
          <w:p w14:paraId="61760EB0">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涉及食品接触类文创</w:t>
            </w:r>
            <w:r>
              <w:rPr>
                <w:rFonts w:hint="eastAsia" w:ascii="仿宋_GB2312" w:hAnsi="仿宋_GB2312" w:eastAsia="仿宋_GB2312" w:cs="仿宋_GB2312"/>
                <w:b w:val="0"/>
                <w:color w:val="auto"/>
                <w:sz w:val="21"/>
                <w:lang w:eastAsia="zh-CN"/>
              </w:rPr>
              <w:t>（如陶瓷杯、塑料餐具）</w:t>
            </w:r>
            <w:r>
              <w:rPr>
                <w:rFonts w:hint="eastAsia" w:ascii="仿宋_GB2312" w:hAnsi="仿宋_GB2312" w:eastAsia="仿宋_GB2312" w:cs="仿宋_GB2312"/>
                <w:b w:val="0"/>
                <w:color w:val="auto"/>
                <w:sz w:val="21"/>
              </w:rPr>
              <w:t>的供应商，须具备食品安全管理体系认证，或提供</w:t>
            </w:r>
            <w:r>
              <w:rPr>
                <w:rFonts w:hint="eastAsia" w:ascii="仿宋_GB2312" w:hAnsi="仿宋_GB2312" w:eastAsia="仿宋_GB2312" w:cs="仿宋_GB2312"/>
                <w:b w:val="0"/>
                <w:color w:val="auto"/>
                <w:sz w:val="21"/>
                <w:lang w:val="en-US" w:eastAsia="zh-CN"/>
              </w:rPr>
              <w:t>产品</w:t>
            </w:r>
            <w:r>
              <w:rPr>
                <w:rFonts w:hint="eastAsia" w:ascii="仿宋_GB2312" w:hAnsi="仿宋_GB2312" w:eastAsia="仿宋_GB2312" w:cs="仿宋_GB2312"/>
                <w:b w:val="0"/>
                <w:color w:val="auto"/>
                <w:sz w:val="21"/>
              </w:rPr>
              <w:t>符合GB 4806系列标准的第三方检测报告、符合性声明及相关合格证明</w:t>
            </w:r>
          </w:p>
        </w:tc>
      </w:tr>
      <w:tr w14:paraId="44530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3928C1CD">
            <w:pPr>
              <w:spacing w:after="0" w:line="240" w:lineRule="auto"/>
              <w:ind w:left="0" w:leftChars="0" w:right="0" w:rightChars="0" w:firstLine="0" w:firstLineChars="0"/>
              <w:jc w:val="center"/>
              <w:rPr>
                <w:rFonts w:hint="eastAsia" w:ascii="仿宋_GB2312" w:hAnsi="仿宋_GB2312" w:eastAsia="仿宋_GB2312" w:cs="仿宋_GB2312"/>
                <w:b w:val="0"/>
                <w:color w:val="auto"/>
                <w:sz w:val="21"/>
              </w:rPr>
            </w:pPr>
            <w:r>
              <w:rPr>
                <w:rFonts w:hint="eastAsia" w:ascii="仿宋_GB2312" w:hAnsi="仿宋_GB2312" w:eastAsia="仿宋_GB2312" w:cs="仿宋_GB2312"/>
                <w:b w:val="0"/>
                <w:color w:val="auto"/>
                <w:sz w:val="21"/>
              </w:rPr>
              <w:t>体系认证</w:t>
            </w:r>
          </w:p>
        </w:tc>
        <w:tc>
          <w:tcPr>
            <w:tcW w:w="4320" w:type="dxa"/>
            <w:vAlign w:val="top"/>
          </w:tcPr>
          <w:p w14:paraId="4285C7FE">
            <w:pPr>
              <w:spacing w:after="0" w:line="240" w:lineRule="auto"/>
              <w:rPr>
                <w:rFonts w:hint="eastAsia" w:ascii="仿宋_GB2312" w:hAnsi="仿宋_GB2312" w:eastAsia="仿宋_GB2312" w:cs="仿宋_GB2312"/>
                <w:b w:val="0"/>
                <w:color w:val="auto"/>
                <w:sz w:val="21"/>
              </w:rPr>
            </w:pPr>
            <w:r>
              <w:rPr>
                <w:rFonts w:hint="eastAsia" w:ascii="仿宋_GB2312" w:hAnsi="仿宋_GB2312" w:eastAsia="仿宋_GB2312" w:cs="仿宋_GB2312"/>
                <w:b w:val="0"/>
                <w:color w:val="auto"/>
                <w:sz w:val="21"/>
              </w:rPr>
              <w:t>具备ISO 9001系列（或等同国际/国家级）质量管理体系认证，认证范围需覆盖申报产品类别</w:t>
            </w:r>
          </w:p>
        </w:tc>
        <w:tc>
          <w:tcPr>
            <w:tcW w:w="2961" w:type="dxa"/>
            <w:vAlign w:val="top"/>
          </w:tcPr>
          <w:p w14:paraId="3B797CB3">
            <w:pPr>
              <w:spacing w:after="0" w:line="240" w:lineRule="auto"/>
              <w:rPr>
                <w:rFonts w:hint="eastAsia" w:ascii="仿宋_GB2312" w:hAnsi="仿宋_GB2312" w:eastAsia="仿宋_GB2312" w:cs="仿宋_GB2312"/>
                <w:b w:val="0"/>
                <w:color w:val="auto"/>
                <w:sz w:val="21"/>
              </w:rPr>
            </w:pPr>
            <w:r>
              <w:rPr>
                <w:rFonts w:hint="eastAsia" w:ascii="仿宋_GB2312" w:hAnsi="仿宋_GB2312" w:eastAsia="仿宋_GB2312" w:cs="仿宋_GB2312"/>
                <w:b w:val="0"/>
                <w:color w:val="auto"/>
                <w:sz w:val="21"/>
              </w:rPr>
              <w:t>鼓励具备ISO 9001系列质量管理体系认证，暂未取得认证的须提供完整的书面质量控制制度文件</w:t>
            </w:r>
          </w:p>
        </w:tc>
      </w:tr>
      <w:tr w14:paraId="2615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783803A9">
            <w:pPr>
              <w:spacing w:after="0" w:line="240" w:lineRule="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质量控制文件</w:t>
            </w:r>
          </w:p>
        </w:tc>
        <w:tc>
          <w:tcPr>
            <w:tcW w:w="4320" w:type="dxa"/>
          </w:tcPr>
          <w:p w14:paraId="38AC2C8D">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具备完善的质量控制文件，包括原材料检验标准、生产过程检验标准、成品检验标准及出货检验标准；关键工序需提供工艺说明、操作指引及过程检验记录</w:t>
            </w:r>
          </w:p>
        </w:tc>
        <w:tc>
          <w:tcPr>
            <w:tcW w:w="2961" w:type="dxa"/>
          </w:tcPr>
          <w:p w14:paraId="6AFB71A5">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具备基本的质量控制文件，包括原材料检验标准和成品检验标准；关键工序须有工艺说明或操作指引，并能提供相应的过程检验记录</w:t>
            </w:r>
          </w:p>
        </w:tc>
      </w:tr>
      <w:tr w14:paraId="747E5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47CA3913">
            <w:pPr>
              <w:spacing w:after="0" w:line="240" w:lineRule="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检测能力</w:t>
            </w:r>
          </w:p>
        </w:tc>
        <w:tc>
          <w:tcPr>
            <w:tcW w:w="4320" w:type="dxa"/>
          </w:tcPr>
          <w:p w14:paraId="6A20FC9C">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配备与产品相适应的检测工具，能提供过程检验记录；须提供最近一年内由CMA</w:t>
            </w:r>
            <w:r>
              <w:rPr>
                <w:rFonts w:hint="eastAsia" w:ascii="仿宋_GB2312" w:hAnsi="仿宋_GB2312" w:eastAsia="仿宋_GB2312" w:cs="仿宋_GB2312"/>
                <w:b w:val="0"/>
                <w:color w:val="auto"/>
                <w:sz w:val="21"/>
                <w:lang w:val="en-US" w:eastAsia="zh-CN"/>
              </w:rPr>
              <w:t>或CNAS</w:t>
            </w:r>
            <w:r>
              <w:rPr>
                <w:rFonts w:hint="eastAsia" w:ascii="仿宋_GB2312" w:hAnsi="仿宋_GB2312" w:eastAsia="仿宋_GB2312" w:cs="仿宋_GB2312"/>
                <w:b w:val="0"/>
                <w:color w:val="auto"/>
                <w:sz w:val="21"/>
              </w:rPr>
              <w:t>资质机构出具的产品型式检验报告，覆盖申报的主要产品类别</w:t>
            </w:r>
          </w:p>
        </w:tc>
        <w:tc>
          <w:tcPr>
            <w:tcW w:w="2961" w:type="dxa"/>
          </w:tcPr>
          <w:p w14:paraId="7218528E">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配备与产品相适应的基本检测工具，并能提供过程检验记录；须提供最近一年内由CMA</w:t>
            </w:r>
            <w:r>
              <w:rPr>
                <w:rFonts w:hint="eastAsia" w:ascii="仿宋_GB2312" w:hAnsi="仿宋_GB2312" w:eastAsia="仿宋_GB2312" w:cs="仿宋_GB2312"/>
                <w:b w:val="0"/>
                <w:color w:val="auto"/>
                <w:sz w:val="21"/>
                <w:lang w:val="en-US" w:eastAsia="zh-CN"/>
              </w:rPr>
              <w:t>或CNAS</w:t>
            </w:r>
            <w:r>
              <w:rPr>
                <w:rFonts w:hint="eastAsia" w:ascii="仿宋_GB2312" w:hAnsi="仿宋_GB2312" w:eastAsia="仿宋_GB2312" w:cs="仿宋_GB2312"/>
                <w:b w:val="0"/>
                <w:color w:val="auto"/>
                <w:sz w:val="21"/>
              </w:rPr>
              <w:t>资质机构出具的产品型式检验报告，覆盖所申报的主要产品类别</w:t>
            </w:r>
          </w:p>
        </w:tc>
      </w:tr>
      <w:tr w14:paraId="04606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3BF4562A">
            <w:pPr>
              <w:spacing w:after="0" w:line="240" w:lineRule="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供应商管理</w:t>
            </w:r>
          </w:p>
        </w:tc>
        <w:tc>
          <w:tcPr>
            <w:tcW w:w="4320" w:type="dxa"/>
          </w:tcPr>
          <w:p w14:paraId="6585D0C0">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建立原材料采购台账及合格供方名录，保留主要原材料的采购凭证、合格证明及供应商资质文件，并对核心供应商进行定期评审</w:t>
            </w:r>
          </w:p>
        </w:tc>
        <w:tc>
          <w:tcPr>
            <w:tcW w:w="2961" w:type="dxa"/>
          </w:tcPr>
          <w:p w14:paraId="7BD55001">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建立原材料采购台账，保留主要原材料的采购凭证或合格证明</w:t>
            </w:r>
          </w:p>
        </w:tc>
      </w:tr>
      <w:tr w14:paraId="35825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777B7F39">
            <w:pPr>
              <w:spacing w:after="0" w:line="240" w:lineRule="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出厂检验</w:t>
            </w:r>
          </w:p>
        </w:tc>
        <w:tc>
          <w:tcPr>
            <w:tcW w:w="4320" w:type="dxa"/>
          </w:tcPr>
          <w:p w14:paraId="76B7AD04">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每批次产品出厂前须按标准进行抽样检验，保留检验记录并附合格证明；无条件接受采购方或其委托的第三方机构进行的不定期工厂现场审核（飞检）及产品抽检</w:t>
            </w:r>
          </w:p>
        </w:tc>
        <w:tc>
          <w:tcPr>
            <w:tcW w:w="2961" w:type="dxa"/>
          </w:tcPr>
          <w:p w14:paraId="5F6EE995">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每批次产品出厂前须按标准进行抽样检验，保留检验记录并附合格证明；接受采购方或其委托的第三方机构进行的不定期产品抽检</w:t>
            </w:r>
          </w:p>
        </w:tc>
      </w:tr>
      <w:tr w14:paraId="098F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71740880">
            <w:pPr>
              <w:spacing w:after="0" w:line="240" w:lineRule="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质量追溯</w:t>
            </w:r>
          </w:p>
        </w:tc>
        <w:tc>
          <w:tcPr>
            <w:tcW w:w="4320" w:type="dxa"/>
          </w:tcPr>
          <w:p w14:paraId="49DF62F0">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具备完善的质量追溯体系，能通过批次号或生产日期追溯至主要原材料及生产记录，实现全流程可追溯</w:t>
            </w:r>
          </w:p>
        </w:tc>
        <w:tc>
          <w:tcPr>
            <w:tcW w:w="2961" w:type="dxa"/>
          </w:tcPr>
          <w:p w14:paraId="110A53FB">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具备基本的追溯能力，能够通过批次号或生产日期追溯到主要原材料和生产记录</w:t>
            </w:r>
          </w:p>
        </w:tc>
      </w:tr>
      <w:tr w14:paraId="2211E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8" w:type="dxa"/>
            <w:vAlign w:val="center"/>
          </w:tcPr>
          <w:p w14:paraId="19C875FB">
            <w:pPr>
              <w:spacing w:after="0" w:line="240" w:lineRule="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售后服务</w:t>
            </w:r>
          </w:p>
        </w:tc>
        <w:tc>
          <w:tcPr>
            <w:tcW w:w="4320" w:type="dxa"/>
          </w:tcPr>
          <w:p w14:paraId="737E2D72">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明确售后服务联系人及联系方式，制定标准化质量异议处理流程；接到质量问题反馈后须在24小时内响应，7个工作日内完成整改、返修或赔付</w:t>
            </w:r>
          </w:p>
        </w:tc>
        <w:tc>
          <w:tcPr>
            <w:tcW w:w="2961" w:type="dxa"/>
          </w:tcPr>
          <w:p w14:paraId="04456344">
            <w:pPr>
              <w:spacing w:after="0" w:line="240" w:lineRule="auto"/>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明确售后服务联系人及联系方式，制定质量异议处理流程；接到质量问题反馈后须在24小时内响应，7个工作日内完成整改、返修或赔付</w:t>
            </w:r>
          </w:p>
        </w:tc>
      </w:tr>
    </w:tbl>
    <w:p w14:paraId="4213BA2B">
      <w:pPr>
        <w:pStyle w:val="3"/>
        <w:rPr>
          <w:rFonts w:hint="eastAsia" w:ascii="黑体" w:hAnsi="黑体" w:eastAsia="黑体" w:cs="黑体"/>
          <w:color w:val="auto"/>
        </w:rPr>
      </w:pPr>
      <w:r>
        <w:rPr>
          <w:rFonts w:hint="eastAsia" w:ascii="黑体" w:hAnsi="黑体" w:eastAsia="黑体" w:cs="黑体"/>
          <w:color w:val="auto"/>
        </w:rPr>
        <w:t>三、通用准入要求</w:t>
      </w:r>
    </w:p>
    <w:p w14:paraId="3CA34891">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（一）资料真实性</w:t>
      </w:r>
    </w:p>
    <w:p w14:paraId="0F78175C">
      <w:pP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所有供应商须按要求提交资质证明、财务报表、团队配置、生产/设计能力证明等资料，确保信息</w:t>
      </w:r>
      <w:r>
        <w:rPr>
          <w:rFonts w:hint="eastAsia" w:ascii="仿宋_GB2312" w:hAnsi="仿宋_GB2312" w:eastAsia="仿宋_GB2312" w:cs="仿宋_GB2312"/>
          <w:b/>
          <w:color w:val="auto"/>
          <w:sz w:val="21"/>
        </w:rPr>
        <w:t>真实、准确、完整</w:t>
      </w:r>
      <w:r>
        <w:rPr>
          <w:rFonts w:hint="eastAsia" w:ascii="仿宋_GB2312" w:hAnsi="仿宋_GB2312" w:eastAsia="仿宋_GB2312" w:cs="仿宋_GB2312"/>
          <w:b w:val="0"/>
          <w:color w:val="auto"/>
          <w:sz w:val="21"/>
        </w:rPr>
        <w:t>，并承诺</w:t>
      </w:r>
      <w:r>
        <w:rPr>
          <w:rFonts w:hint="eastAsia" w:ascii="仿宋_GB2312" w:hAnsi="仿宋_GB2312" w:eastAsia="仿宋_GB2312" w:cs="仿宋_GB2312"/>
          <w:b w:val="0"/>
          <w:color w:val="auto"/>
          <w:sz w:val="21"/>
          <w:lang w:eastAsia="zh-CN"/>
        </w:rPr>
        <w:t>在</w:t>
      </w:r>
      <w:r>
        <w:rPr>
          <w:rFonts w:hint="eastAsia" w:ascii="仿宋_GB2312" w:hAnsi="仿宋_GB2312" w:eastAsia="仿宋_GB2312" w:cs="仿宋_GB2312"/>
          <w:b w:val="0"/>
          <w:color w:val="auto"/>
          <w:sz w:val="21"/>
        </w:rPr>
        <w:t>资料发生变更后</w:t>
      </w:r>
      <w:r>
        <w:rPr>
          <w:rFonts w:hint="eastAsia" w:ascii="仿宋_GB2312" w:hAnsi="仿宋_GB2312" w:eastAsia="仿宋_GB2312" w:cs="仿宋_GB2312"/>
          <w:b/>
          <w:color w:val="auto"/>
          <w:sz w:val="21"/>
        </w:rPr>
        <w:t>3个工作日内</w:t>
      </w:r>
      <w:r>
        <w:rPr>
          <w:rFonts w:hint="eastAsia" w:ascii="仿宋_GB2312" w:hAnsi="仿宋_GB2312" w:eastAsia="仿宋_GB2312" w:cs="仿宋_GB2312"/>
          <w:b w:val="0"/>
          <w:color w:val="auto"/>
          <w:sz w:val="21"/>
        </w:rPr>
        <w:t>告知采购方。</w:t>
      </w:r>
    </w:p>
    <w:p w14:paraId="02340F31">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（二）沟通与响应</w:t>
      </w:r>
    </w:p>
    <w:p w14:paraId="4DBE8F4B">
      <w:pPr>
        <w:rPr>
          <w:rFonts w:hint="eastAsia" w:eastAsia="宋体"/>
          <w:lang w:eastAsia="zh-CN"/>
        </w:rPr>
      </w:pPr>
      <w:r>
        <w:rPr>
          <w:rFonts w:hint="eastAsia" w:ascii="仿宋_GB2312" w:hAnsi="仿宋_GB2312" w:eastAsia="仿宋_GB2312" w:cs="仿宋_GB2312"/>
          <w:b w:val="0"/>
          <w:color w:val="auto"/>
          <w:sz w:val="21"/>
          <w:lang w:eastAsia="zh-CN"/>
        </w:rPr>
        <w:t>具备良好的沟通协作能力，能配合完成文创产品的设计优化、打样测试、批量生产及交货验收等工作；对定制化需求、交货时限要求能及时响应，</w:t>
      </w:r>
      <w:r>
        <w:rPr>
          <w:rFonts w:hint="eastAsia" w:ascii="仿宋_GB2312" w:hAnsi="仿宋_GB2312" w:eastAsia="仿宋_GB2312" w:cs="仿宋_GB2312"/>
          <w:b/>
          <w:color w:val="auto"/>
          <w:sz w:val="21"/>
          <w:lang w:eastAsia="zh-CN"/>
        </w:rPr>
        <w:t>紧急订单需在24小时内反馈方案</w:t>
      </w:r>
      <w:r>
        <w:rPr>
          <w:rFonts w:hint="eastAsia" w:ascii="仿宋_GB2312" w:hAnsi="仿宋_GB2312" w:eastAsia="仿宋_GB2312" w:cs="仿宋_GB2312"/>
          <w:b w:val="0"/>
          <w:color w:val="auto"/>
          <w:sz w:val="21"/>
          <w:lang w:eastAsia="zh-CN"/>
        </w:rPr>
        <w:t>。</w:t>
      </w:r>
    </w:p>
    <w:p w14:paraId="4A1185F1">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（三）环保与安全</w:t>
      </w:r>
    </w:p>
    <w:p w14:paraId="59947D85">
      <w:pP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遵守国家环保、安全生产相关规定，文创产品生产、包装等环节符合绿色环保要求，无使用国家禁用材质、违规排放、安全生产事故等情形</w:t>
      </w:r>
      <w:r>
        <w:rPr>
          <w:rFonts w:hint="eastAsia" w:ascii="仿宋_GB2312" w:hAnsi="仿宋_GB2312" w:eastAsia="仿宋_GB2312" w:cs="仿宋_GB2312"/>
          <w:b w:val="0"/>
          <w:color w:val="auto"/>
          <w:sz w:val="21"/>
          <w:lang w:eastAsia="zh-CN"/>
        </w:rPr>
        <w:t>；</w:t>
      </w:r>
      <w:r>
        <w:rPr>
          <w:rFonts w:hint="eastAsia" w:ascii="仿宋_GB2312" w:hAnsi="仿宋_GB2312" w:eastAsia="仿宋_GB2312" w:cs="仿宋_GB2312"/>
          <w:b w:val="0"/>
          <w:color w:val="auto"/>
          <w:sz w:val="21"/>
        </w:rPr>
        <w:t>包装材料优先选用</w:t>
      </w:r>
      <w:r>
        <w:rPr>
          <w:rFonts w:hint="eastAsia" w:ascii="仿宋_GB2312" w:hAnsi="仿宋_GB2312" w:eastAsia="仿宋_GB2312" w:cs="仿宋_GB2312"/>
          <w:b/>
          <w:color w:val="auto"/>
          <w:sz w:val="21"/>
        </w:rPr>
        <w:t>可回收、可降解材质</w:t>
      </w:r>
      <w:r>
        <w:rPr>
          <w:rFonts w:hint="eastAsia" w:ascii="仿宋_GB2312" w:hAnsi="仿宋_GB2312" w:eastAsia="仿宋_GB2312" w:cs="仿宋_GB2312"/>
          <w:b w:val="0"/>
          <w:color w:val="auto"/>
          <w:sz w:val="21"/>
        </w:rPr>
        <w:t>。</w:t>
      </w:r>
    </w:p>
    <w:p w14:paraId="3EAB9CAF">
      <w:pPr>
        <w:pStyle w:val="4"/>
        <w:rPr>
          <w:rFonts w:hint="eastAsia" w:ascii="楷体_GB2312" w:hAnsi="楷体_GB2312" w:eastAsia="楷体_GB2312" w:cs="楷体_GB2312"/>
          <w:color w:val="auto"/>
        </w:rPr>
      </w:pPr>
      <w:r>
        <w:rPr>
          <w:rFonts w:hint="eastAsia" w:ascii="楷体_GB2312" w:hAnsi="楷体_GB2312" w:eastAsia="楷体_GB2312" w:cs="楷体_GB2312"/>
          <w:color w:val="auto"/>
        </w:rPr>
        <w:t>（四）供应链保障</w:t>
      </w:r>
    </w:p>
    <w:p w14:paraId="7DA69146">
      <w:pP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具备一定的供应链整合能力，能保障原材料稳定供应，无因原材料短缺导致的订单延期交付记录，</w:t>
      </w:r>
      <w:r>
        <w:rPr>
          <w:rFonts w:hint="eastAsia" w:ascii="仿宋_GB2312" w:hAnsi="仿宋_GB2312" w:eastAsia="仿宋_GB2312" w:cs="仿宋_GB2312"/>
          <w:b w:val="0"/>
          <w:color w:val="auto"/>
          <w:sz w:val="21"/>
          <w:lang w:eastAsia="zh-CN"/>
        </w:rPr>
        <w:t>并能</w:t>
      </w:r>
      <w:r>
        <w:rPr>
          <w:rFonts w:hint="eastAsia" w:ascii="仿宋_GB2312" w:hAnsi="仿宋_GB2312" w:eastAsia="仿宋_GB2312" w:cs="仿宋_GB2312"/>
          <w:b w:val="0"/>
          <w:color w:val="auto"/>
          <w:sz w:val="21"/>
        </w:rPr>
        <w:t>提供主要原材料供应商的资质证明。</w:t>
      </w:r>
    </w:p>
    <w:p w14:paraId="072B4262">
      <w:pPr>
        <w:pStyle w:val="3"/>
        <w:rPr>
          <w:rFonts w:hint="eastAsia" w:ascii="黑体" w:hAnsi="黑体" w:eastAsia="黑体" w:cs="黑体"/>
          <w:color w:val="auto"/>
        </w:rPr>
      </w:pPr>
      <w:r>
        <w:rPr>
          <w:rFonts w:hint="eastAsia" w:ascii="黑体" w:hAnsi="黑体" w:eastAsia="黑体" w:cs="黑体"/>
          <w:color w:val="auto"/>
        </w:rPr>
        <w:t>四、优先准入条件</w:t>
      </w:r>
    </w:p>
    <w:p w14:paraId="5A385586">
      <w:pP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具备以下条件的供应商，在同等条件下</w:t>
      </w:r>
      <w:r>
        <w:rPr>
          <w:rFonts w:hint="eastAsia" w:ascii="仿宋_GB2312" w:hAnsi="仿宋_GB2312" w:eastAsia="仿宋_GB2312" w:cs="仿宋_GB2312"/>
          <w:b/>
          <w:color w:val="auto"/>
          <w:sz w:val="21"/>
        </w:rPr>
        <w:t>优先准入</w:t>
      </w:r>
      <w:r>
        <w:rPr>
          <w:rFonts w:hint="eastAsia" w:ascii="仿宋_GB2312" w:hAnsi="仿宋_GB2312" w:eastAsia="仿宋_GB2312" w:cs="仿宋_GB2312"/>
          <w:b w:val="0"/>
          <w:color w:val="auto"/>
          <w:sz w:val="21"/>
        </w:rPr>
        <w:t>：</w:t>
      </w:r>
    </w:p>
    <w:p w14:paraId="63E961EB">
      <w:pPr>
        <w:rPr>
          <w:rFonts w:hint="eastAsia" w:ascii="楷体_GB2312" w:hAnsi="楷体_GB2312" w:eastAsia="楷体_GB2312" w:cs="楷体_GB2312"/>
          <w:color w:val="auto"/>
        </w:rPr>
      </w:pPr>
      <w:r>
        <w:rPr>
          <w:rFonts w:hint="eastAsia" w:ascii="仿宋_GB2312" w:hAnsi="仿宋_GB2312" w:eastAsia="仿宋_GB2312" w:cs="仿宋_GB2312"/>
          <w:b/>
          <w:color w:val="auto"/>
          <w:sz w:val="21"/>
        </w:rPr>
        <w:t>有文旅行业、酒类行业文创产品合作案例的供应商</w:t>
      </w:r>
      <w:r>
        <w:rPr>
          <w:rFonts w:hint="eastAsia" w:ascii="仿宋_GB2312" w:hAnsi="仿宋_GB2312" w:eastAsia="仿宋_GB2312" w:cs="仿宋_GB2312"/>
          <w:color w:val="auto"/>
          <w:lang w:eastAsia="zh-CN"/>
        </w:rPr>
        <w:t>，</w:t>
      </w:r>
      <w:r>
        <w:rPr>
          <w:rFonts w:hint="eastAsia" w:ascii="楷体_GB2312" w:hAnsi="楷体_GB2312" w:eastAsia="楷体_GB2312" w:cs="楷体_GB2312"/>
          <w:b w:val="0"/>
          <w:color w:val="auto"/>
          <w:sz w:val="21"/>
        </w:rPr>
        <w:t>须提供近2年同类合作项目的合同、成品案例等证明资料。</w:t>
      </w:r>
    </w:p>
    <w:p w14:paraId="596867C5">
      <w:pPr>
        <w:pStyle w:val="3"/>
        <w:rPr>
          <w:rFonts w:hint="eastAsia" w:ascii="黑体" w:hAnsi="黑体" w:eastAsia="黑体" w:cs="黑体"/>
          <w:color w:val="auto"/>
        </w:rPr>
      </w:pPr>
      <w:r>
        <w:rPr>
          <w:rFonts w:hint="eastAsia" w:ascii="黑体" w:hAnsi="黑体" w:eastAsia="黑体" w:cs="黑体"/>
          <w:color w:val="auto"/>
        </w:rPr>
        <w:t>五、招募流程</w:t>
      </w:r>
    </w:p>
    <w:p w14:paraId="22A18261">
      <w:pPr>
        <w:rPr>
          <w:rFonts w:hint="eastAsia" w:ascii="仿宋_GB2312" w:hAnsi="仿宋_GB2312" w:eastAsia="仿宋_GB2312" w:cs="仿宋_GB2312"/>
          <w:color w:val="auto"/>
          <w:lang w:eastAsia="zh-CN"/>
        </w:rPr>
      </w:pPr>
      <w:r>
        <w:rPr>
          <w:rFonts w:hint="eastAsia" w:ascii="仿宋_GB2312" w:hAnsi="仿宋_GB2312" w:eastAsia="仿宋_GB2312" w:cs="仿宋_GB2312"/>
          <w:b w:val="0"/>
          <w:color w:val="auto"/>
          <w:sz w:val="21"/>
        </w:rPr>
        <w:t>1. 资料提交：供应商按本公告要求准备并提交准入申请材料</w:t>
      </w:r>
      <w:r>
        <w:rPr>
          <w:rFonts w:hint="eastAsia" w:ascii="仿宋_GB2312" w:hAnsi="仿宋_GB2312" w:eastAsia="仿宋_GB2312" w:cs="仿宋_GB2312"/>
          <w:b w:val="0"/>
          <w:color w:val="auto"/>
          <w:sz w:val="21"/>
          <w:lang w:eastAsia="zh-CN"/>
        </w:rPr>
        <w:t>。</w:t>
      </w:r>
    </w:p>
    <w:p w14:paraId="2DFB0B76">
      <w:pPr>
        <w:rPr>
          <w:rFonts w:hint="eastAsia" w:ascii="仿宋_GB2312" w:hAnsi="仿宋_GB2312" w:eastAsia="仿宋_GB2312" w:cs="仿宋_GB2312"/>
          <w:color w:val="auto"/>
          <w:lang w:eastAsia="zh-CN"/>
        </w:rPr>
      </w:pPr>
      <w:r>
        <w:rPr>
          <w:rFonts w:hint="eastAsia" w:ascii="仿宋_GB2312" w:hAnsi="仿宋_GB2312" w:eastAsia="仿宋_GB2312" w:cs="仿宋_GB2312"/>
          <w:b w:val="0"/>
          <w:color w:val="auto"/>
          <w:sz w:val="21"/>
        </w:rPr>
        <w:t>2. 资格初审：采购方对提交资料进行完整性及符合性审查</w:t>
      </w:r>
      <w:r>
        <w:rPr>
          <w:rFonts w:hint="eastAsia" w:ascii="仿宋_GB2312" w:hAnsi="仿宋_GB2312" w:eastAsia="仿宋_GB2312" w:cs="仿宋_GB2312"/>
          <w:b w:val="0"/>
          <w:color w:val="auto"/>
          <w:sz w:val="21"/>
          <w:lang w:eastAsia="zh-CN"/>
        </w:rPr>
        <w:t>。</w:t>
      </w:r>
    </w:p>
    <w:p w14:paraId="5F99FAB7">
      <w:pPr>
        <w:rPr>
          <w:rFonts w:hint="eastAsia" w:ascii="仿宋_GB2312" w:hAnsi="仿宋_GB2312" w:eastAsia="仿宋_GB2312" w:cs="仿宋_GB2312"/>
          <w:color w:val="auto"/>
          <w:lang w:eastAsia="zh-CN"/>
        </w:rPr>
      </w:pPr>
      <w:r>
        <w:rPr>
          <w:rFonts w:hint="eastAsia" w:ascii="仿宋_GB2312" w:hAnsi="仿宋_GB2312" w:eastAsia="仿宋_GB2312" w:cs="仿宋_GB2312"/>
          <w:b w:val="0"/>
          <w:color w:val="auto"/>
          <w:sz w:val="21"/>
        </w:rPr>
        <w:t>3. 实地考察</w:t>
      </w:r>
      <w:r>
        <w:rPr>
          <w:rFonts w:hint="eastAsia" w:ascii="仿宋_GB2312" w:hAnsi="仿宋_GB2312" w:eastAsia="仿宋_GB2312" w:cs="仿宋_GB2312"/>
          <w:b w:val="0"/>
          <w:color w:val="auto"/>
          <w:sz w:val="21"/>
          <w:lang w:eastAsia="zh-CN"/>
        </w:rPr>
        <w:t>（</w:t>
      </w:r>
      <w:r>
        <w:rPr>
          <w:rFonts w:hint="eastAsia" w:ascii="仿宋_GB2312" w:hAnsi="仿宋_GB2312" w:eastAsia="仿宋_GB2312" w:cs="仿宋_GB2312"/>
          <w:b w:val="0"/>
          <w:color w:val="auto"/>
          <w:sz w:val="21"/>
          <w:lang w:val="en-US" w:eastAsia="zh-CN"/>
        </w:rPr>
        <w:t>如需</w:t>
      </w:r>
      <w:r>
        <w:rPr>
          <w:rFonts w:hint="eastAsia" w:ascii="仿宋_GB2312" w:hAnsi="仿宋_GB2312" w:eastAsia="仿宋_GB2312" w:cs="仿宋_GB2312"/>
          <w:b w:val="0"/>
          <w:color w:val="auto"/>
          <w:sz w:val="21"/>
          <w:lang w:eastAsia="zh-CN"/>
        </w:rPr>
        <w:t>）</w:t>
      </w:r>
      <w:r>
        <w:rPr>
          <w:rFonts w:hint="eastAsia" w:ascii="仿宋_GB2312" w:hAnsi="仿宋_GB2312" w:eastAsia="仿宋_GB2312" w:cs="仿宋_GB2312"/>
          <w:b w:val="0"/>
          <w:color w:val="auto"/>
          <w:sz w:val="21"/>
        </w:rPr>
        <w:t>：对通过初审的供应商进行现场审核</w:t>
      </w:r>
      <w:r>
        <w:rPr>
          <w:rFonts w:hint="eastAsia" w:ascii="仿宋_GB2312" w:hAnsi="仿宋_GB2312" w:eastAsia="仿宋_GB2312" w:cs="仿宋_GB2312"/>
          <w:b w:val="0"/>
          <w:color w:val="auto"/>
          <w:sz w:val="21"/>
          <w:lang w:eastAsia="zh-CN"/>
        </w:rPr>
        <w:t>。</w:t>
      </w:r>
    </w:p>
    <w:p w14:paraId="17907043">
      <w:pPr>
        <w:rPr>
          <w:rFonts w:hint="eastAsia" w:ascii="仿宋_GB2312" w:hAnsi="仿宋_GB2312" w:eastAsia="仿宋_GB2312" w:cs="仿宋_GB2312"/>
          <w:color w:val="auto"/>
          <w:lang w:eastAsia="zh-CN"/>
        </w:rPr>
      </w:pPr>
      <w:r>
        <w:rPr>
          <w:rFonts w:hint="eastAsia" w:ascii="仿宋_GB2312" w:hAnsi="仿宋_GB2312" w:eastAsia="仿宋_GB2312" w:cs="仿宋_GB2312"/>
          <w:b w:val="0"/>
          <w:color w:val="auto"/>
          <w:sz w:val="21"/>
        </w:rPr>
        <w:t>4. 综合评估：从企业资质、财务状况、法务合规、质量保障、服务能力等维度进行综合评分</w:t>
      </w:r>
      <w:r>
        <w:rPr>
          <w:rFonts w:hint="eastAsia" w:ascii="仿宋_GB2312" w:hAnsi="仿宋_GB2312" w:eastAsia="仿宋_GB2312" w:cs="仿宋_GB2312"/>
          <w:b w:val="0"/>
          <w:color w:val="auto"/>
          <w:sz w:val="21"/>
          <w:lang w:eastAsia="zh-CN"/>
        </w:rPr>
        <w:t>。</w:t>
      </w:r>
    </w:p>
    <w:p w14:paraId="686E9ACF">
      <w:pPr>
        <w:rPr>
          <w:rFonts w:hint="eastAsia" w:ascii="仿宋_GB2312" w:hAnsi="仿宋_GB2312" w:eastAsia="仿宋_GB2312" w:cs="仿宋_GB2312"/>
          <w:color w:val="auto"/>
          <w:lang w:eastAsia="zh-CN"/>
        </w:rPr>
      </w:pPr>
      <w:r>
        <w:rPr>
          <w:rFonts w:hint="eastAsia" w:ascii="仿宋_GB2312" w:hAnsi="仿宋_GB2312" w:eastAsia="仿宋_GB2312" w:cs="仿宋_GB2312"/>
          <w:b w:val="0"/>
          <w:color w:val="auto"/>
          <w:sz w:val="21"/>
        </w:rPr>
        <w:t>5. 准入公示：通过评估的供应商纳入合格供应商名录，并通知入围结果</w:t>
      </w:r>
      <w:r>
        <w:rPr>
          <w:rFonts w:hint="eastAsia" w:ascii="仿宋_GB2312" w:hAnsi="仿宋_GB2312" w:eastAsia="仿宋_GB2312" w:cs="仿宋_GB2312"/>
          <w:b w:val="0"/>
          <w:color w:val="auto"/>
          <w:sz w:val="21"/>
          <w:lang w:eastAsia="zh-CN"/>
        </w:rPr>
        <w:t>。</w:t>
      </w:r>
    </w:p>
    <w:p w14:paraId="3537357C">
      <w:pPr>
        <w:pStyle w:val="3"/>
        <w:rPr>
          <w:rFonts w:hint="eastAsia" w:ascii="黑体" w:hAnsi="黑体" w:eastAsia="黑体" w:cs="黑体"/>
          <w:color w:val="auto"/>
        </w:rPr>
      </w:pPr>
      <w:r>
        <w:rPr>
          <w:rFonts w:hint="eastAsia" w:ascii="黑体" w:hAnsi="黑体" w:eastAsia="黑体" w:cs="黑体"/>
          <w:color w:val="auto"/>
        </w:rPr>
        <w:t>六、重要声明</w:t>
      </w:r>
    </w:p>
    <w:p w14:paraId="6B9B93E3">
      <w:pP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1. 本次招募不收取任何费用，请各供应商谨防诈骗。</w:t>
      </w:r>
    </w:p>
    <w:p w14:paraId="14FDF8DC">
      <w:pP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rPr>
        <w:t>2. 供应商须对提交资料的真实性负责，如发现虚假信息，将取消准入资格并列入黑名单。</w:t>
      </w:r>
    </w:p>
    <w:p w14:paraId="7D9EA079">
      <w:pPr>
        <w:rPr>
          <w:rFonts w:hint="eastAsia" w:ascii="仿宋_GB2312" w:hAnsi="仿宋_GB2312" w:eastAsia="仿宋_GB2312" w:cs="仿宋_GB2312"/>
          <w:color w:val="auto"/>
        </w:rPr>
      </w:pPr>
      <w:r>
        <w:rPr>
          <w:rFonts w:hint="eastAsia" w:ascii="仿宋_GB2312" w:hAnsi="仿宋_GB2312" w:eastAsia="仿宋_GB2312" w:cs="仿宋_GB2312"/>
          <w:b w:val="0"/>
          <w:color w:val="auto"/>
          <w:sz w:val="21"/>
          <w:lang w:val="en-US" w:eastAsia="zh-CN"/>
        </w:rPr>
        <w:t>3</w:t>
      </w:r>
      <w:r>
        <w:rPr>
          <w:rFonts w:hint="eastAsia" w:ascii="仿宋_GB2312" w:hAnsi="仿宋_GB2312" w:eastAsia="仿宋_GB2312" w:cs="仿宋_GB2312"/>
          <w:b w:val="0"/>
          <w:color w:val="auto"/>
          <w:sz w:val="21"/>
        </w:rPr>
        <w:t>. 采购方保留对本次招募的最终解释权。</w:t>
      </w:r>
    </w:p>
    <w:p w14:paraId="7C14B8C6">
      <w:pPr>
        <w:rPr>
          <w:rFonts w:hint="eastAsia" w:ascii="仿宋_GB2312" w:hAnsi="仿宋_GB2312" w:eastAsia="仿宋_GB2312" w:cs="仿宋_GB2312"/>
          <w:b w:val="0"/>
          <w:bCs w:val="0"/>
          <w:color w:val="auto"/>
        </w:rPr>
      </w:pPr>
    </w:p>
    <w:p w14:paraId="19F8EF5F">
      <w:pPr>
        <w:jc w:val="right"/>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中国贵州茅台酒厂（集团）文化旅游有限责任公司</w:t>
      </w:r>
    </w:p>
    <w:p w14:paraId="7D539061">
      <w:pPr>
        <w:wordWrap/>
        <w:jc w:val="center"/>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 xml:space="preserve">                      2026年4月10日</w:t>
      </w:r>
    </w:p>
    <w:sectPr>
      <w:pgSz w:w="12240" w:h="15840"/>
      <w:pgMar w:top="2098" w:right="1474" w:bottom="1984" w:left="1587"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372054F"/>
    <w:rsid w:val="17DC64B3"/>
    <w:rsid w:val="1DB7314C"/>
    <w:rsid w:val="21481ABF"/>
    <w:rsid w:val="243B5147"/>
    <w:rsid w:val="29B36F83"/>
    <w:rsid w:val="5C2B0143"/>
    <w:rsid w:val="5D131175"/>
    <w:rsid w:val="67167AC1"/>
    <w:rsid w:val="7697431B"/>
    <w:rsid w:val="77FF40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Body Text 3"/>
    <w:basedOn w:val="1"/>
    <w:link w:val="146"/>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qFormat/>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6"/>
    <w:unhideWhenUsed/>
    <w:qFormat/>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qFormat/>
    <w:uiPriority w:val="99"/>
    <w:pPr>
      <w:ind w:left="360" w:hanging="360"/>
      <w:contextualSpacing/>
    </w:pPr>
  </w:style>
  <w:style w:type="paragraph" w:styleId="28">
    <w:name w:val="Body Text 2"/>
    <w:basedOn w:val="1"/>
    <w:link w:val="145"/>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qFormat/>
    <w:uiPriority w:val="99"/>
  </w:style>
  <w:style w:type="character" w:customStyle="1" w:styleId="136">
    <w:name w:val="Footer Char"/>
    <w:basedOn w:val="132"/>
    <w:link w:val="24"/>
    <w:qFormat/>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qFormat/>
    <w:uiPriority w:val="99"/>
  </w:style>
  <w:style w:type="character" w:customStyle="1" w:styleId="145">
    <w:name w:val="Body Text 2 Char"/>
    <w:basedOn w:val="132"/>
    <w:link w:val="28"/>
    <w:qFormat/>
    <w:uiPriority w:val="99"/>
  </w:style>
  <w:style w:type="character" w:customStyle="1" w:styleId="146">
    <w:name w:val="Body Text 3 Char"/>
    <w:basedOn w:val="132"/>
    <w:link w:val="17"/>
    <w:qFormat/>
    <w:uiPriority w:val="99"/>
    <w:rPr>
      <w:sz w:val="16"/>
      <w:szCs w:val="16"/>
    </w:rPr>
  </w:style>
  <w:style w:type="character" w:customStyle="1" w:styleId="147">
    <w:name w:val="Macro Text Char"/>
    <w:basedOn w:val="132"/>
    <w:link w:val="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qFormat/>
    <w:uiPriority w:val="29"/>
    <w:rPr>
      <w:i/>
      <w:iCs/>
      <w:color w:val="000000" w:themeColor="text1"/>
      <w14:textFill>
        <w14:solidFill>
          <w14:schemeClr w14:val="tx1"/>
        </w14:solidFill>
      </w14:textFill>
    </w:rPr>
  </w:style>
  <w:style w:type="character" w:customStyle="1" w:styleId="150">
    <w:name w:val="Heading 4 Char"/>
    <w:basedOn w:val="132"/>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qFormat/>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qFormat/>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ontractReview xmlns="http://schemas.wps.cn/vas-ai-hub/contract-review">
  <reviewItems>
    <reviewItem>
      <errorID>f6402478-5c61-454e-96ac-227ac625f748</errorID>
      <errorWord>供应</errorWord>
      <group>L1_Grammar</group>
      <groupName>语法问题</groupName>
      <ability>L2_Grammar</ability>
      <abilityName>语法错误</abilityName>
      <candidateList>
        <item>提供</item>
      </candidateList>
      <explain>“供应～服务”搭配不当，建议修改为“提供～服务”。</explain>
      <paraID> 7E244FE</paraID>
      <start>15</start>
      <end>17</end>
      <status>ignored</status>
      <modifiedWord/>
      <trackRevisions>false</trackRevisions>
    </reviewItem>
    <reviewItem>
      <errorID>701d7d07-f005-4276-98b6-80ad83ed75ad</errorID>
      <errorWord>需具备</errorWord>
      <group>L1_Word</group>
      <groupName>字词问题</groupName>
      <ability>L2_Typo</ability>
      <abilityName>字词错误</abilityName>
      <candidateList>
        <item>须具备</item>
      </candidateList>
      <explain/>
      <paraID>75C855DD</paraID>
      <start>21</start>
      <end>24</end>
      <status>modified</status>
      <modifiedWord>须具备</modifiedWord>
      <trackRevisions>false</trackRevisions>
    </reviewItem>
  </reviewItems>
  <config/>
</contractReview>
</file>

<file path=customXml/itemProps1.xml><?xml version="1.0" encoding="utf-8"?>
<ds:datastoreItem xmlns:ds="http://schemas.openxmlformats.org/officeDocument/2006/customXml" ds:itemID="{EF278816-EC6F-A645-907D-7F25AECB1D4A}">
  <ds:schemaRefs/>
</ds:datastoreItem>
</file>

<file path=customXml/itemProps2.xml><?xml version="1.0" encoding="utf-8"?>
<ds:datastoreItem xmlns:ds="http://schemas.openxmlformats.org/officeDocument/2006/customXml" ds:itemID="{11effaa2-1f6f-4ba7-a06e-9faebc623e75}">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2861</Words>
  <Characters>2912</Characters>
  <Lines>0</Lines>
  <Paragraphs>0</Paragraphs>
  <TotalTime>9</TotalTime>
  <ScaleCrop>false</ScaleCrop>
  <LinksUpToDate>false</LinksUpToDate>
  <CharactersWithSpaces>2945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冯思源</cp:lastModifiedBy>
  <dcterms:modified xsi:type="dcterms:W3CDTF">2026-04-09T07:36:21Z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eyJoZGlkIjoiMzEwNTM5NzYwMDRjMzkwZTVkZjY2ODkwMGIxNGU0OTUiLCJ1c2VySWQiOiIxNjk3MTE2MTAwIn0=</vt:lpwstr>
  </property>
  <property fmtid="{D5CDD505-2E9C-101B-9397-08002B2CF9AE}" pid="3" name="KSOProductBuildVer">
    <vt:lpwstr>2052-12.1.0.25225</vt:lpwstr>
  </property>
  <property fmtid="{D5CDD505-2E9C-101B-9397-08002B2CF9AE}" pid="4" name="ICV">
    <vt:lpwstr>3DDF9D2E944B4B5494DDC228D8C9EEDA_12</vt:lpwstr>
  </property>
</Properties>
</file>